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A44E" w14:textId="77777777" w:rsidR="00A1752A" w:rsidRPr="009A7E36" w:rsidRDefault="00A1752A" w:rsidP="00A1752A">
      <w:pPr>
        <w:jc w:val="both"/>
        <w:rPr>
          <w:b/>
          <w:color w:val="000000"/>
          <w:spacing w:val="-6"/>
          <w:sz w:val="28"/>
          <w:szCs w:val="28"/>
        </w:rPr>
      </w:pPr>
      <w:r w:rsidRPr="009A7E36">
        <w:rPr>
          <w:b/>
          <w:color w:val="000000"/>
          <w:spacing w:val="-6"/>
          <w:sz w:val="28"/>
          <w:szCs w:val="28"/>
        </w:rPr>
        <w:t xml:space="preserve">Bisogreen </w:t>
      </w:r>
      <w:r w:rsidR="008B200D" w:rsidRPr="009A7E36">
        <w:rPr>
          <w:b/>
          <w:color w:val="000000"/>
          <w:spacing w:val="-6"/>
          <w:sz w:val="28"/>
          <w:szCs w:val="28"/>
        </w:rPr>
        <w:t>Kalkglätte</w:t>
      </w:r>
    </w:p>
    <w:p w14:paraId="24021DBA" w14:textId="77777777" w:rsidR="0051558F" w:rsidRPr="004964EB" w:rsidRDefault="008B200D" w:rsidP="009A7E36">
      <w:pPr>
        <w:spacing w:before="120"/>
        <w:jc w:val="both"/>
        <w:rPr>
          <w:color w:val="000000"/>
          <w:spacing w:val="-6"/>
          <w:sz w:val="22"/>
        </w:rPr>
      </w:pPr>
      <w:r w:rsidRPr="004964EB">
        <w:rPr>
          <w:color w:val="000000"/>
          <w:spacing w:val="-6"/>
          <w:sz w:val="22"/>
        </w:rPr>
        <w:t>Die Bisogreen Kalkglätte ist rein mineralische, leicht zu verarbeitende Putzglätte, zur Verwendung im Innenbereich. Sie eignet sich speziell für die Egalisierung von Bisogreen Putzen, die nur mit einem Anstrich versehen werden sollen und</w:t>
      </w:r>
      <w:r w:rsidR="007D0DD6" w:rsidRPr="004964EB">
        <w:rPr>
          <w:color w:val="000000"/>
          <w:spacing w:val="-6"/>
          <w:sz w:val="22"/>
        </w:rPr>
        <w:t xml:space="preserve"> für Grundputze der Putzmörtelklassen</w:t>
      </w:r>
      <w:r w:rsidRPr="004964EB">
        <w:rPr>
          <w:color w:val="000000"/>
          <w:spacing w:val="-6"/>
          <w:sz w:val="22"/>
        </w:rPr>
        <w:t xml:space="preserve"> P I, P II und P III bzw. der Druckfestigkeit nach DIN EN 998-1 CS II bis CS IV. Ebenfalls verwendbar auf Sanierputzen gemäß WTA.</w:t>
      </w:r>
    </w:p>
    <w:p w14:paraId="003B36CD" w14:textId="77777777" w:rsidR="004750EF" w:rsidRPr="00A15A72" w:rsidRDefault="004750EF" w:rsidP="004964EB">
      <w:pPr>
        <w:spacing w:before="240"/>
        <w:jc w:val="both"/>
        <w:rPr>
          <w:color w:val="000000"/>
        </w:rPr>
      </w:pPr>
      <w:r w:rsidRPr="00A15A72">
        <w:rPr>
          <w:b/>
          <w:color w:val="000000"/>
        </w:rPr>
        <w:t>Technische Vorbemerkung:</w:t>
      </w:r>
      <w:r w:rsidRPr="00A15A72">
        <w:rPr>
          <w:color w:val="000000"/>
        </w:rPr>
        <w:t xml:space="preserve"> </w:t>
      </w:r>
    </w:p>
    <w:p w14:paraId="7AB1FBDC" w14:textId="77777777" w:rsidR="007F7EB7" w:rsidRDefault="007F7EB7" w:rsidP="007F7EB7">
      <w:pPr>
        <w:jc w:val="both"/>
        <w:rPr>
          <w:color w:val="000000"/>
          <w:sz w:val="22"/>
          <w:szCs w:val="22"/>
        </w:rPr>
      </w:pPr>
      <w:r w:rsidRPr="00DB7B0A">
        <w:rPr>
          <w:color w:val="000000"/>
          <w:sz w:val="22"/>
          <w:szCs w:val="22"/>
        </w:rPr>
        <w:t>Für die Ausführung von Putzarbeiten gelten die Bestimmungen der DIN EN 13914-1</w:t>
      </w:r>
      <w:r>
        <w:rPr>
          <w:color w:val="000000"/>
          <w:sz w:val="22"/>
          <w:szCs w:val="22"/>
        </w:rPr>
        <w:t xml:space="preserve">: </w:t>
      </w:r>
      <w:r w:rsidRPr="00DB7B0A">
        <w:rPr>
          <w:color w:val="000000"/>
          <w:sz w:val="22"/>
          <w:szCs w:val="22"/>
        </w:rPr>
        <w:t>20</w:t>
      </w:r>
      <w:r>
        <w:rPr>
          <w:color w:val="000000"/>
          <w:sz w:val="22"/>
          <w:szCs w:val="22"/>
        </w:rPr>
        <w:t>13</w:t>
      </w:r>
      <w:r w:rsidRPr="00DB7B0A">
        <w:rPr>
          <w:color w:val="000000"/>
          <w:sz w:val="22"/>
          <w:szCs w:val="22"/>
        </w:rPr>
        <w:t>-0</w:t>
      </w:r>
      <w:r>
        <w:rPr>
          <w:color w:val="000000"/>
          <w:sz w:val="22"/>
          <w:szCs w:val="22"/>
        </w:rPr>
        <w:t>9</w:t>
      </w:r>
      <w:r w:rsidRPr="00DB7B0A">
        <w:rPr>
          <w:color w:val="000000"/>
          <w:sz w:val="22"/>
          <w:szCs w:val="22"/>
        </w:rPr>
        <w:t xml:space="preserve"> „Außenputze“, der DIN V 18550: 20</w:t>
      </w:r>
      <w:r>
        <w:rPr>
          <w:color w:val="000000"/>
          <w:sz w:val="22"/>
          <w:szCs w:val="22"/>
        </w:rPr>
        <w:t>14</w:t>
      </w:r>
      <w:r w:rsidRPr="00DB7B0A">
        <w:rPr>
          <w:color w:val="000000"/>
          <w:sz w:val="22"/>
          <w:szCs w:val="22"/>
        </w:rPr>
        <w:t>-</w:t>
      </w:r>
      <w:r>
        <w:rPr>
          <w:color w:val="000000"/>
          <w:sz w:val="22"/>
          <w:szCs w:val="22"/>
        </w:rPr>
        <w:t>12</w:t>
      </w:r>
      <w:r w:rsidRPr="00DB7B0A">
        <w:rPr>
          <w:color w:val="000000"/>
          <w:sz w:val="22"/>
          <w:szCs w:val="22"/>
        </w:rPr>
        <w:t xml:space="preserve"> "Putz und Putzsysteme", sowie die DIN 18350: 201</w:t>
      </w:r>
      <w:r>
        <w:rPr>
          <w:color w:val="000000"/>
          <w:sz w:val="22"/>
          <w:szCs w:val="22"/>
        </w:rPr>
        <w:t>5</w:t>
      </w:r>
      <w:r w:rsidRPr="00DB7B0A">
        <w:rPr>
          <w:color w:val="000000"/>
          <w:sz w:val="22"/>
          <w:szCs w:val="22"/>
        </w:rPr>
        <w:t>-0</w:t>
      </w:r>
      <w:r>
        <w:rPr>
          <w:color w:val="000000"/>
          <w:sz w:val="22"/>
          <w:szCs w:val="22"/>
        </w:rPr>
        <w:t>8</w:t>
      </w:r>
      <w:r w:rsidRPr="00DB7B0A">
        <w:rPr>
          <w:color w:val="000000"/>
          <w:sz w:val="22"/>
          <w:szCs w:val="22"/>
        </w:rPr>
        <w:t xml:space="preserve"> „Putz und Stuckarbeiten“ und die VOB.</w:t>
      </w:r>
    </w:p>
    <w:p w14:paraId="19181944" w14:textId="77777777" w:rsidR="009D7CAF" w:rsidRPr="00A15A72" w:rsidRDefault="009D7CAF" w:rsidP="009D7CAF">
      <w:pPr>
        <w:rPr>
          <w:b/>
          <w:color w:val="000000"/>
        </w:rPr>
      </w:pPr>
    </w:p>
    <w:p w14:paraId="4C8E0E9C" w14:textId="77777777" w:rsidR="009D7CAF" w:rsidRPr="00A15A72" w:rsidRDefault="008B200D" w:rsidP="009D7CAF">
      <w:pPr>
        <w:rPr>
          <w:b/>
          <w:color w:val="000000"/>
        </w:rPr>
      </w:pPr>
      <w:r>
        <w:rPr>
          <w:b/>
          <w:color w:val="000000"/>
        </w:rPr>
        <w:t>V</w:t>
      </w:r>
      <w:r w:rsidR="009D7CAF" w:rsidRPr="00A15A72">
        <w:rPr>
          <w:b/>
          <w:color w:val="000000"/>
        </w:rPr>
        <w:t xml:space="preserve">orbehandlung: </w:t>
      </w:r>
    </w:p>
    <w:p w14:paraId="00D34666" w14:textId="77777777" w:rsidR="008B200D" w:rsidRPr="008B200D" w:rsidRDefault="008B200D" w:rsidP="008B200D">
      <w:pPr>
        <w:pStyle w:val="Textkrper2"/>
        <w:rPr>
          <w:color w:val="000000"/>
          <w:sz w:val="22"/>
          <w:szCs w:val="22"/>
        </w:rPr>
      </w:pPr>
      <w:r w:rsidRPr="008B200D">
        <w:rPr>
          <w:color w:val="000000"/>
          <w:sz w:val="22"/>
          <w:szCs w:val="22"/>
        </w:rPr>
        <w:t xml:space="preserve">Der Putzgrund muss tragfähig, trocken, frei von Staub sowie Schalölen, Wachsen und anderen Trennmitteln sein (ggf. reinigen bzw. lose Teile entfernen). Zur Beurteilung und Vorbereitung des Untergrundes sind die Hinweise der VOB/C, sowie </w:t>
      </w:r>
      <w:r w:rsidR="007F7EB7">
        <w:rPr>
          <w:color w:val="000000"/>
          <w:sz w:val="22"/>
          <w:szCs w:val="22"/>
        </w:rPr>
        <w:t>der oben genannten</w:t>
      </w:r>
      <w:r w:rsidRPr="008B200D">
        <w:rPr>
          <w:color w:val="000000"/>
          <w:sz w:val="22"/>
          <w:szCs w:val="22"/>
        </w:rPr>
        <w:t xml:space="preserve"> Putznorm</w:t>
      </w:r>
      <w:r w:rsidR="007F7EB7">
        <w:rPr>
          <w:color w:val="000000"/>
          <w:sz w:val="22"/>
          <w:szCs w:val="22"/>
        </w:rPr>
        <w:t xml:space="preserve">en </w:t>
      </w:r>
      <w:r w:rsidRPr="008B200D">
        <w:rPr>
          <w:color w:val="000000"/>
          <w:sz w:val="22"/>
          <w:szCs w:val="22"/>
        </w:rPr>
        <w:t>zu beachten.</w:t>
      </w:r>
    </w:p>
    <w:p w14:paraId="444074B9" w14:textId="77777777" w:rsidR="00A1752A" w:rsidRDefault="008B200D" w:rsidP="008B200D">
      <w:pPr>
        <w:pStyle w:val="Textkrper2"/>
        <w:rPr>
          <w:color w:val="000000"/>
          <w:sz w:val="22"/>
          <w:szCs w:val="22"/>
        </w:rPr>
      </w:pPr>
      <w:r w:rsidRPr="008B200D">
        <w:rPr>
          <w:color w:val="000000"/>
          <w:sz w:val="22"/>
          <w:szCs w:val="22"/>
        </w:rPr>
        <w:t>Als Putzgrund sind frische</w:t>
      </w:r>
      <w:r>
        <w:rPr>
          <w:color w:val="000000"/>
          <w:sz w:val="22"/>
          <w:szCs w:val="22"/>
        </w:rPr>
        <w:t xml:space="preserve"> Grundputze der Mörtelgruppe P I</w:t>
      </w:r>
      <w:r w:rsidRPr="008B200D">
        <w:rPr>
          <w:color w:val="000000"/>
          <w:sz w:val="22"/>
          <w:szCs w:val="22"/>
        </w:rPr>
        <w:t xml:space="preserve">, P II oder P III geeignet. Stark saugende Untergründe sind ggf. </w:t>
      </w:r>
      <w:proofErr w:type="spellStart"/>
      <w:r w:rsidRPr="008B200D">
        <w:rPr>
          <w:color w:val="000000"/>
          <w:sz w:val="22"/>
          <w:szCs w:val="22"/>
        </w:rPr>
        <w:t>vorzunässen</w:t>
      </w:r>
      <w:proofErr w:type="spellEnd"/>
      <w:r w:rsidRPr="008B200D">
        <w:rPr>
          <w:color w:val="000000"/>
          <w:sz w:val="22"/>
          <w:szCs w:val="22"/>
        </w:rPr>
        <w:t>.</w:t>
      </w:r>
    </w:p>
    <w:p w14:paraId="77CAA37D" w14:textId="77777777" w:rsidR="008B200D" w:rsidRPr="00A15A72" w:rsidRDefault="008B200D" w:rsidP="008B200D">
      <w:pPr>
        <w:pStyle w:val="Textkrper2"/>
        <w:rPr>
          <w:color w:val="000000"/>
          <w:sz w:val="22"/>
          <w:szCs w:val="22"/>
        </w:rPr>
      </w:pPr>
    </w:p>
    <w:p w14:paraId="33EEE640" w14:textId="77777777" w:rsidR="008B200D" w:rsidRPr="00A15A72" w:rsidRDefault="008B200D" w:rsidP="008B200D">
      <w:pPr>
        <w:rPr>
          <w:b/>
          <w:color w:val="000000"/>
        </w:rPr>
      </w:pPr>
      <w:r>
        <w:rPr>
          <w:b/>
          <w:color w:val="000000"/>
        </w:rPr>
        <w:t>Verarbeitung</w:t>
      </w:r>
      <w:r w:rsidRPr="00A15A72">
        <w:rPr>
          <w:b/>
          <w:color w:val="000000"/>
        </w:rPr>
        <w:t xml:space="preserve">: </w:t>
      </w:r>
    </w:p>
    <w:p w14:paraId="6F03F831" w14:textId="77777777" w:rsidR="008B200D" w:rsidRPr="00A15A72" w:rsidRDefault="008B200D" w:rsidP="00A1752A">
      <w:pPr>
        <w:pStyle w:val="Textkrper2"/>
        <w:rPr>
          <w:color w:val="000000"/>
          <w:sz w:val="22"/>
          <w:szCs w:val="22"/>
        </w:rPr>
      </w:pPr>
      <w:r w:rsidRPr="008B200D">
        <w:rPr>
          <w:color w:val="000000"/>
          <w:sz w:val="22"/>
          <w:szCs w:val="22"/>
        </w:rPr>
        <w:t>Mit einer Traufel die Kalkglätte in max. 1 mm Auftragsdicke auftragen und glätten. Bei der Verarbeitung entstandene Unebenheiten können nach einer Standzeit von ca. 2 Tagen mit Schleifpapier geschliffen werden. Vor Ausführen von Beschichtungen wie z.B. Anstrichen muss die Kalkglätte ausgetrocknet und erhärtet sein. Auf eine ausreichende Belüftung ist zu achten.</w:t>
      </w:r>
    </w:p>
    <w:p w14:paraId="065572EE" w14:textId="77777777" w:rsidR="00A1752A" w:rsidRPr="00A15A72" w:rsidRDefault="00A1752A" w:rsidP="00A1752A">
      <w:pPr>
        <w:pStyle w:val="Textkrper2"/>
        <w:rPr>
          <w:color w:val="000000"/>
          <w:sz w:val="16"/>
          <w:szCs w:val="16"/>
        </w:rPr>
      </w:pPr>
    </w:p>
    <w:p w14:paraId="1726C325" w14:textId="77777777" w:rsidR="008B200D" w:rsidRPr="00A15A72" w:rsidRDefault="008B200D" w:rsidP="008B200D">
      <w:pPr>
        <w:rPr>
          <w:b/>
          <w:color w:val="000000"/>
        </w:rPr>
      </w:pPr>
      <w:r>
        <w:rPr>
          <w:b/>
          <w:color w:val="000000"/>
        </w:rPr>
        <w:t>Verbrauch</w:t>
      </w:r>
      <w:r w:rsidRPr="00A15A72">
        <w:rPr>
          <w:b/>
          <w:color w:val="000000"/>
        </w:rPr>
        <w:t xml:space="preserve">: </w:t>
      </w:r>
    </w:p>
    <w:p w14:paraId="45191C23" w14:textId="77777777" w:rsidR="002E66DD" w:rsidRDefault="008B200D" w:rsidP="002A7811">
      <w:pPr>
        <w:pStyle w:val="Textkrper2"/>
        <w:rPr>
          <w:color w:val="000000"/>
          <w:sz w:val="22"/>
          <w:szCs w:val="22"/>
        </w:rPr>
      </w:pPr>
      <w:r w:rsidRPr="008B200D">
        <w:rPr>
          <w:color w:val="000000"/>
          <w:sz w:val="22"/>
          <w:szCs w:val="22"/>
        </w:rPr>
        <w:t>Für 1 m² Putzfläche der Dicke 1 mm werden ca. 0,85 kg Bisogreen Kalkglätte benötigt.</w:t>
      </w:r>
    </w:p>
    <w:p w14:paraId="6F593F4E" w14:textId="77777777" w:rsidR="002E66DD" w:rsidRDefault="002E66DD" w:rsidP="002A7811">
      <w:pPr>
        <w:pStyle w:val="Textkrper2"/>
        <w:rPr>
          <w:color w:val="000000"/>
          <w:sz w:val="22"/>
          <w:szCs w:val="22"/>
        </w:rPr>
      </w:pPr>
    </w:p>
    <w:p w14:paraId="4DDE964F" w14:textId="77777777" w:rsidR="009A7E36" w:rsidRDefault="009A7E36" w:rsidP="002A7811">
      <w:pPr>
        <w:pStyle w:val="Textkrper2"/>
        <w:rPr>
          <w:color w:val="000000"/>
          <w:sz w:val="22"/>
          <w:szCs w:val="22"/>
        </w:rPr>
      </w:pPr>
    </w:p>
    <w:p w14:paraId="6F394204" w14:textId="77777777" w:rsidR="00432A6F" w:rsidRPr="004964EB" w:rsidRDefault="008B200D" w:rsidP="002A7811">
      <w:pPr>
        <w:pStyle w:val="Textkrper2"/>
        <w:rPr>
          <w:b/>
          <w:color w:val="000000"/>
          <w:szCs w:val="28"/>
        </w:rPr>
      </w:pPr>
      <w:r w:rsidRPr="004964EB">
        <w:rPr>
          <w:b/>
          <w:color w:val="000000"/>
          <w:szCs w:val="28"/>
        </w:rPr>
        <w:t>Kalkglätte zum Herstellen von glatten anstrichfähigen Oberflächen</w:t>
      </w:r>
      <w:r w:rsidR="00670B2F" w:rsidRPr="004964EB">
        <w:rPr>
          <w:b/>
          <w:color w:val="000000"/>
          <w:szCs w:val="28"/>
        </w:rPr>
        <w:t>.</w:t>
      </w:r>
    </w:p>
    <w:tbl>
      <w:tblPr>
        <w:tblW w:w="9821"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28" w:type="dxa"/>
          <w:right w:w="28" w:type="dxa"/>
        </w:tblCellMar>
        <w:tblLook w:val="0000" w:firstRow="0" w:lastRow="0" w:firstColumn="0" w:lastColumn="0" w:noHBand="0" w:noVBand="0"/>
      </w:tblPr>
      <w:tblGrid>
        <w:gridCol w:w="637"/>
        <w:gridCol w:w="1246"/>
        <w:gridCol w:w="5204"/>
        <w:gridCol w:w="1418"/>
        <w:gridCol w:w="1316"/>
      </w:tblGrid>
      <w:tr w:rsidR="004750EF" w:rsidRPr="00A15A72" w14:paraId="70B0870D" w14:textId="77777777" w:rsidTr="00670B2F">
        <w:trPr>
          <w:cantSplit/>
        </w:trPr>
        <w:tc>
          <w:tcPr>
            <w:tcW w:w="637" w:type="dxa"/>
            <w:shd w:val="clear" w:color="auto" w:fill="D9D9D9"/>
          </w:tcPr>
          <w:p w14:paraId="02A6942F" w14:textId="77777777" w:rsidR="004750EF" w:rsidRPr="00A15A72" w:rsidRDefault="004750EF">
            <w:pPr>
              <w:jc w:val="center"/>
              <w:rPr>
                <w:color w:val="000000"/>
                <w:sz w:val="22"/>
              </w:rPr>
            </w:pPr>
            <w:r w:rsidRPr="00A15A72">
              <w:rPr>
                <w:color w:val="000000"/>
                <w:sz w:val="22"/>
              </w:rPr>
              <w:t>Pos.</w:t>
            </w:r>
          </w:p>
        </w:tc>
        <w:tc>
          <w:tcPr>
            <w:tcW w:w="1246" w:type="dxa"/>
            <w:shd w:val="clear" w:color="auto" w:fill="D9D9D9"/>
          </w:tcPr>
          <w:p w14:paraId="4B8F84F3" w14:textId="77777777" w:rsidR="004750EF" w:rsidRPr="00A15A72" w:rsidRDefault="004750EF">
            <w:pPr>
              <w:jc w:val="center"/>
              <w:rPr>
                <w:color w:val="000000"/>
                <w:sz w:val="22"/>
              </w:rPr>
            </w:pPr>
            <w:r w:rsidRPr="00A15A72">
              <w:rPr>
                <w:color w:val="000000"/>
                <w:sz w:val="22"/>
              </w:rPr>
              <w:t>Menge</w:t>
            </w:r>
          </w:p>
        </w:tc>
        <w:tc>
          <w:tcPr>
            <w:tcW w:w="5204" w:type="dxa"/>
            <w:shd w:val="clear" w:color="auto" w:fill="D9D9D9"/>
          </w:tcPr>
          <w:p w14:paraId="5BEC28C2" w14:textId="77777777" w:rsidR="004750EF" w:rsidRPr="00A15A72" w:rsidRDefault="004750EF">
            <w:pPr>
              <w:jc w:val="center"/>
              <w:rPr>
                <w:color w:val="000000"/>
                <w:sz w:val="22"/>
              </w:rPr>
            </w:pPr>
            <w:r w:rsidRPr="00A15A72">
              <w:rPr>
                <w:color w:val="000000"/>
                <w:sz w:val="22"/>
              </w:rPr>
              <w:t>Leistung</w:t>
            </w:r>
          </w:p>
        </w:tc>
        <w:tc>
          <w:tcPr>
            <w:tcW w:w="1418" w:type="dxa"/>
            <w:shd w:val="clear" w:color="auto" w:fill="D9D9D9"/>
          </w:tcPr>
          <w:p w14:paraId="0DE47A17" w14:textId="77777777" w:rsidR="004750EF" w:rsidRPr="00A15A72" w:rsidRDefault="004750EF">
            <w:pPr>
              <w:jc w:val="center"/>
              <w:rPr>
                <w:color w:val="000000"/>
                <w:sz w:val="22"/>
              </w:rPr>
            </w:pPr>
            <w:r w:rsidRPr="00A15A72">
              <w:rPr>
                <w:color w:val="000000"/>
                <w:sz w:val="22"/>
              </w:rPr>
              <w:t>Einheitspreis</w:t>
            </w:r>
          </w:p>
        </w:tc>
        <w:tc>
          <w:tcPr>
            <w:tcW w:w="1316" w:type="dxa"/>
            <w:shd w:val="clear" w:color="auto" w:fill="D9D9D9"/>
          </w:tcPr>
          <w:p w14:paraId="112C6F25" w14:textId="77777777" w:rsidR="004750EF" w:rsidRPr="00A15A72" w:rsidRDefault="004750EF">
            <w:pPr>
              <w:jc w:val="center"/>
              <w:rPr>
                <w:color w:val="000000"/>
                <w:sz w:val="22"/>
              </w:rPr>
            </w:pPr>
            <w:r w:rsidRPr="00A15A72">
              <w:rPr>
                <w:color w:val="000000"/>
                <w:sz w:val="22"/>
              </w:rPr>
              <w:t>Gesamtpreis</w:t>
            </w:r>
          </w:p>
        </w:tc>
      </w:tr>
      <w:tr w:rsidR="00670B2F" w:rsidRPr="00A15A72" w14:paraId="3E7E7BA5" w14:textId="77777777" w:rsidTr="004964EB">
        <w:trPr>
          <w:cantSplit/>
          <w:trHeight w:val="1668"/>
        </w:trPr>
        <w:tc>
          <w:tcPr>
            <w:tcW w:w="637" w:type="dxa"/>
            <w:vAlign w:val="center"/>
          </w:tcPr>
          <w:p w14:paraId="3F39E8CC" w14:textId="77777777" w:rsidR="00670B2F" w:rsidRPr="00A15A72" w:rsidRDefault="00670B2F" w:rsidP="004964EB">
            <w:pPr>
              <w:jc w:val="center"/>
              <w:rPr>
                <w:color w:val="000000"/>
                <w:sz w:val="22"/>
              </w:rPr>
            </w:pPr>
            <w:r w:rsidRPr="00A15A72">
              <w:rPr>
                <w:color w:val="000000"/>
                <w:sz w:val="22"/>
              </w:rPr>
              <w:t>01</w:t>
            </w:r>
          </w:p>
        </w:tc>
        <w:tc>
          <w:tcPr>
            <w:tcW w:w="1246" w:type="dxa"/>
            <w:vAlign w:val="bottom"/>
          </w:tcPr>
          <w:p w14:paraId="2BA4A351" w14:textId="77777777" w:rsidR="00670B2F" w:rsidRPr="00A15A72" w:rsidRDefault="00670B2F" w:rsidP="004964EB">
            <w:pPr>
              <w:spacing w:before="60"/>
              <w:jc w:val="right"/>
              <w:rPr>
                <w:color w:val="000000"/>
                <w:sz w:val="22"/>
              </w:rPr>
            </w:pPr>
            <w:r w:rsidRPr="00A15A72">
              <w:rPr>
                <w:color w:val="000000"/>
                <w:sz w:val="22"/>
              </w:rPr>
              <w:t xml:space="preserve">m² </w:t>
            </w:r>
          </w:p>
        </w:tc>
        <w:tc>
          <w:tcPr>
            <w:tcW w:w="5204" w:type="dxa"/>
          </w:tcPr>
          <w:p w14:paraId="661A1FA8" w14:textId="77777777" w:rsidR="009A7E36" w:rsidRDefault="00670B2F" w:rsidP="007F7EB7">
            <w:pPr>
              <w:rPr>
                <w:color w:val="000000"/>
                <w:sz w:val="20"/>
                <w:lang w:val="da-DK"/>
              </w:rPr>
            </w:pPr>
            <w:r w:rsidRPr="00A15A72">
              <w:rPr>
                <w:color w:val="000000"/>
                <w:sz w:val="22"/>
                <w:lang w:val="da-DK"/>
              </w:rPr>
              <w:t xml:space="preserve">Liefern </w:t>
            </w:r>
            <w:r w:rsidRPr="009A7E36">
              <w:rPr>
                <w:color w:val="000000"/>
                <w:sz w:val="20"/>
                <w:lang w:val="da-DK"/>
              </w:rPr>
              <w:t xml:space="preserve">und Auftragen von </w:t>
            </w:r>
          </w:p>
          <w:p w14:paraId="133D69F1" w14:textId="77777777" w:rsidR="009A7E36" w:rsidRDefault="00670B2F" w:rsidP="007F7EB7">
            <w:pPr>
              <w:spacing w:before="60" w:after="60"/>
              <w:rPr>
                <w:color w:val="000000"/>
                <w:sz w:val="20"/>
                <w:lang w:val="da-DK"/>
              </w:rPr>
            </w:pPr>
            <w:r w:rsidRPr="009A7E36">
              <w:rPr>
                <w:b/>
                <w:color w:val="000000"/>
                <w:sz w:val="20"/>
                <w:lang w:val="da-DK"/>
              </w:rPr>
              <w:t>Bisogreen Kalkglätte</w:t>
            </w:r>
            <w:r w:rsidRPr="009A7E36">
              <w:rPr>
                <w:color w:val="000000"/>
                <w:sz w:val="20"/>
                <w:lang w:val="da-DK"/>
              </w:rPr>
              <w:t xml:space="preserve"> </w:t>
            </w:r>
          </w:p>
          <w:p w14:paraId="36160A55" w14:textId="77777777" w:rsidR="00B75441" w:rsidRPr="009A7E36" w:rsidRDefault="00670B2F" w:rsidP="007F7EB7">
            <w:pPr>
              <w:rPr>
                <w:color w:val="000000"/>
                <w:sz w:val="20"/>
                <w:lang w:val="da-DK"/>
              </w:rPr>
            </w:pPr>
            <w:r w:rsidRPr="009A7E36">
              <w:rPr>
                <w:color w:val="000000"/>
                <w:sz w:val="20"/>
                <w:lang w:val="da-DK"/>
              </w:rPr>
              <w:t>auf Grundputz</w:t>
            </w:r>
          </w:p>
          <w:p w14:paraId="0697392C" w14:textId="77777777" w:rsidR="00670B2F" w:rsidRPr="009A7E36" w:rsidRDefault="00670B2F" w:rsidP="007F7EB7">
            <w:pPr>
              <w:spacing w:before="240"/>
              <w:rPr>
                <w:color w:val="000000"/>
                <w:sz w:val="20"/>
                <w:lang w:val="da-DK"/>
              </w:rPr>
            </w:pPr>
            <w:r w:rsidRPr="009A7E36">
              <w:rPr>
                <w:color w:val="000000"/>
                <w:sz w:val="20"/>
                <w:lang w:val="da-DK"/>
              </w:rPr>
              <w:t>der Mörtelgruppe ___</w:t>
            </w:r>
          </w:p>
          <w:p w14:paraId="7278FBBD" w14:textId="77777777" w:rsidR="00670B2F" w:rsidRPr="009A7E36" w:rsidRDefault="00670B2F" w:rsidP="007F7EB7">
            <w:pPr>
              <w:rPr>
                <w:color w:val="000000"/>
                <w:sz w:val="20"/>
                <w:lang w:val="da-DK"/>
              </w:rPr>
            </w:pPr>
            <w:r w:rsidRPr="009A7E36">
              <w:rPr>
                <w:color w:val="000000"/>
                <w:sz w:val="20"/>
                <w:lang w:val="da-DK"/>
              </w:rPr>
              <w:t>Bisogreen Innenputz</w:t>
            </w:r>
          </w:p>
          <w:p w14:paraId="265E68B0" w14:textId="77777777" w:rsidR="00670B2F" w:rsidRPr="009A7E36" w:rsidRDefault="00670B2F" w:rsidP="007F7EB7">
            <w:pPr>
              <w:rPr>
                <w:color w:val="000000"/>
                <w:sz w:val="20"/>
                <w:lang w:val="da-DK"/>
              </w:rPr>
            </w:pPr>
            <w:r w:rsidRPr="009A7E36">
              <w:rPr>
                <w:color w:val="000000"/>
                <w:sz w:val="20"/>
                <w:lang w:val="da-DK"/>
              </w:rPr>
              <w:t>Bisogreen Außenputz</w:t>
            </w:r>
          </w:p>
          <w:p w14:paraId="0EE2F87D" w14:textId="77777777" w:rsidR="00670B2F" w:rsidRPr="009A7E36" w:rsidRDefault="00670B2F" w:rsidP="007F7EB7">
            <w:pPr>
              <w:rPr>
                <w:color w:val="000000"/>
                <w:sz w:val="20"/>
                <w:lang w:val="da-DK"/>
              </w:rPr>
            </w:pPr>
            <w:r w:rsidRPr="009A7E36">
              <w:rPr>
                <w:color w:val="000000"/>
                <w:sz w:val="20"/>
                <w:lang w:val="da-DK"/>
              </w:rPr>
              <w:t>Bisogreen Leicht-Handputz</w:t>
            </w:r>
          </w:p>
          <w:p w14:paraId="34639101" w14:textId="77777777" w:rsidR="00670B2F" w:rsidRPr="009A7E36" w:rsidRDefault="00670B2F" w:rsidP="007F7EB7">
            <w:pPr>
              <w:rPr>
                <w:color w:val="000000"/>
                <w:sz w:val="20"/>
                <w:lang w:val="da-DK"/>
              </w:rPr>
            </w:pPr>
          </w:p>
          <w:p w14:paraId="6ABE92AD" w14:textId="77777777" w:rsidR="00670B2F" w:rsidRPr="009A7E36" w:rsidRDefault="00670B2F" w:rsidP="007F7EB7">
            <w:pPr>
              <w:rPr>
                <w:color w:val="000000"/>
                <w:sz w:val="20"/>
                <w:lang w:val="da-DK"/>
              </w:rPr>
            </w:pPr>
            <w:r w:rsidRPr="009A7E36">
              <w:rPr>
                <w:color w:val="000000"/>
                <w:sz w:val="20"/>
                <w:lang w:val="da-DK"/>
              </w:rPr>
              <w:t>in der Schichtdicke ca. 1 mm</w:t>
            </w:r>
          </w:p>
          <w:p w14:paraId="2C0DE358" w14:textId="77777777" w:rsidR="00670B2F" w:rsidRPr="009A7E36" w:rsidRDefault="00670B2F" w:rsidP="007F7EB7">
            <w:pPr>
              <w:rPr>
                <w:color w:val="000000"/>
                <w:sz w:val="20"/>
                <w:lang w:val="da-DK"/>
              </w:rPr>
            </w:pPr>
            <w:r w:rsidRPr="009A7E36">
              <w:rPr>
                <w:color w:val="000000"/>
                <w:sz w:val="20"/>
                <w:lang w:val="da-DK"/>
              </w:rPr>
              <w:t>Wandhöhe bis: ___m</w:t>
            </w:r>
          </w:p>
          <w:p w14:paraId="2BD78169" w14:textId="77777777" w:rsidR="00670B2F" w:rsidRPr="009A7E36" w:rsidRDefault="00670B2F" w:rsidP="007F7EB7">
            <w:pPr>
              <w:rPr>
                <w:color w:val="000000"/>
                <w:sz w:val="20"/>
                <w:lang w:val="da-DK"/>
              </w:rPr>
            </w:pPr>
          </w:p>
          <w:p w14:paraId="058C55D7" w14:textId="77777777" w:rsidR="00670B2F" w:rsidRPr="00A15A72" w:rsidRDefault="00670B2F" w:rsidP="007F7EB7">
            <w:pPr>
              <w:rPr>
                <w:color w:val="000000"/>
                <w:lang w:val="da-DK"/>
              </w:rPr>
            </w:pPr>
            <w:r w:rsidRPr="009A7E36">
              <w:rPr>
                <w:color w:val="000000"/>
                <w:sz w:val="20"/>
                <w:lang w:val="da-DK"/>
              </w:rPr>
              <w:t>Inklusive Nachbehandlung / Schleifen</w:t>
            </w:r>
          </w:p>
        </w:tc>
        <w:tc>
          <w:tcPr>
            <w:tcW w:w="1418" w:type="dxa"/>
            <w:vAlign w:val="bottom"/>
          </w:tcPr>
          <w:p w14:paraId="73C5D186" w14:textId="77777777" w:rsidR="00670B2F" w:rsidRPr="00A15A72" w:rsidRDefault="00670B2F" w:rsidP="0076518E">
            <w:pPr>
              <w:jc w:val="right"/>
              <w:rPr>
                <w:color w:val="000000"/>
                <w:sz w:val="22"/>
              </w:rPr>
            </w:pPr>
            <w:r w:rsidRPr="00A15A72">
              <w:rPr>
                <w:color w:val="000000"/>
                <w:sz w:val="22"/>
              </w:rPr>
              <w:t>€</w:t>
            </w:r>
          </w:p>
        </w:tc>
        <w:tc>
          <w:tcPr>
            <w:tcW w:w="1316" w:type="dxa"/>
            <w:vAlign w:val="bottom"/>
          </w:tcPr>
          <w:p w14:paraId="0703F945" w14:textId="77777777" w:rsidR="00670B2F" w:rsidRPr="00A15A72" w:rsidRDefault="00670B2F" w:rsidP="0076518E">
            <w:pPr>
              <w:jc w:val="right"/>
              <w:rPr>
                <w:color w:val="000000"/>
                <w:sz w:val="22"/>
              </w:rPr>
            </w:pPr>
            <w:r w:rsidRPr="00A15A72">
              <w:rPr>
                <w:color w:val="000000"/>
                <w:sz w:val="22"/>
              </w:rPr>
              <w:t>€</w:t>
            </w:r>
          </w:p>
        </w:tc>
      </w:tr>
    </w:tbl>
    <w:p w14:paraId="155A4FE5" w14:textId="5F30CA0A" w:rsidR="006502F1" w:rsidRDefault="006502F1" w:rsidP="00670B2F">
      <w:pPr>
        <w:rPr>
          <w:color w:val="000000"/>
        </w:rPr>
      </w:pPr>
    </w:p>
    <w:p w14:paraId="6DC3B8D9" w14:textId="08974729" w:rsidR="00467E6B" w:rsidRPr="00467E6B" w:rsidRDefault="00467E6B" w:rsidP="00467E6B"/>
    <w:p w14:paraId="2E9199C8" w14:textId="22C555BD" w:rsidR="00467E6B" w:rsidRPr="00467E6B" w:rsidRDefault="00467E6B" w:rsidP="00467E6B"/>
    <w:p w14:paraId="07770376" w14:textId="7BCC8A80" w:rsidR="00467E6B" w:rsidRPr="00467E6B" w:rsidRDefault="00467E6B" w:rsidP="00467E6B"/>
    <w:p w14:paraId="70EA3906" w14:textId="649A8401" w:rsidR="00467E6B" w:rsidRPr="00467E6B" w:rsidRDefault="00467E6B" w:rsidP="00467E6B"/>
    <w:p w14:paraId="16C6F8B3" w14:textId="6A3FB8CD" w:rsidR="00467E6B" w:rsidRPr="00467E6B" w:rsidRDefault="00467E6B" w:rsidP="00467E6B"/>
    <w:p w14:paraId="29A17F25" w14:textId="33976CC8" w:rsidR="00467E6B" w:rsidRPr="00467E6B" w:rsidRDefault="00467E6B" w:rsidP="00467E6B"/>
    <w:p w14:paraId="5335134A" w14:textId="3631E788" w:rsidR="00467E6B" w:rsidRPr="00467E6B" w:rsidRDefault="00467E6B" w:rsidP="00467E6B"/>
    <w:p w14:paraId="338C2A98" w14:textId="234AC90F" w:rsidR="00467E6B" w:rsidRPr="00467E6B" w:rsidRDefault="00467E6B" w:rsidP="00467E6B"/>
    <w:p w14:paraId="07101500" w14:textId="77777777" w:rsidR="00467E6B" w:rsidRPr="00467E6B" w:rsidRDefault="00467E6B" w:rsidP="00467E6B">
      <w:pPr>
        <w:jc w:val="right"/>
      </w:pPr>
    </w:p>
    <w:sectPr w:rsidR="00467E6B" w:rsidRPr="00467E6B" w:rsidSect="00104D5A">
      <w:headerReference w:type="default" r:id="rId7"/>
      <w:footerReference w:type="default" r:id="rId8"/>
      <w:pgSz w:w="11906" w:h="16838"/>
      <w:pgMar w:top="0" w:right="680"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A6DFB" w14:textId="77777777" w:rsidR="00B32838" w:rsidRDefault="00B32838">
      <w:r>
        <w:separator/>
      </w:r>
    </w:p>
  </w:endnote>
  <w:endnote w:type="continuationSeparator" w:id="0">
    <w:p w14:paraId="5046700E" w14:textId="77777777" w:rsidR="00B32838" w:rsidRDefault="00B32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utura Md BT">
    <w:panose1 w:val="020B0602020204020303"/>
    <w:charset w:val="00"/>
    <w:family w:val="swiss"/>
    <w:pitch w:val="variable"/>
    <w:sig w:usb0="800008EF" w:usb1="1000204A" w:usb2="00000000" w:usb3="00000000" w:csb0="000001F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9D31" w14:textId="403E717D" w:rsidR="00B84DD0" w:rsidRPr="00492C46" w:rsidRDefault="00B84DD0">
    <w:pPr>
      <w:pStyle w:val="Fuzeile"/>
      <w:jc w:val="right"/>
      <w:rPr>
        <w:rFonts w:ascii="Helvetica" w:hAnsi="Helvetica"/>
        <w:color w:val="000000"/>
        <w:sz w:val="14"/>
        <w:szCs w:val="14"/>
      </w:rPr>
    </w:pPr>
    <w:r>
      <w:rPr>
        <w:rFonts w:ascii="Helvetica" w:hAnsi="Helvetica"/>
        <w:color w:val="000000"/>
        <w:sz w:val="14"/>
        <w:szCs w:val="14"/>
      </w:rPr>
      <w:t xml:space="preserve">LV </w:t>
    </w:r>
    <w:proofErr w:type="spellStart"/>
    <w:r>
      <w:rPr>
        <w:rFonts w:ascii="Helvetica" w:hAnsi="Helvetica"/>
        <w:color w:val="000000"/>
        <w:sz w:val="14"/>
        <w:szCs w:val="14"/>
      </w:rPr>
      <w:t>Bis</w:t>
    </w:r>
    <w:r w:rsidR="009D7CAF">
      <w:rPr>
        <w:rFonts w:ascii="Helvetica" w:hAnsi="Helvetica"/>
        <w:color w:val="000000"/>
        <w:sz w:val="14"/>
        <w:szCs w:val="14"/>
      </w:rPr>
      <w:t>ogreen</w:t>
    </w:r>
    <w:proofErr w:type="spellEnd"/>
    <w:r w:rsidR="009D7CAF">
      <w:rPr>
        <w:rFonts w:ascii="Helvetica" w:hAnsi="Helvetica"/>
        <w:color w:val="000000"/>
        <w:sz w:val="14"/>
        <w:szCs w:val="14"/>
      </w:rPr>
      <w:t xml:space="preserve"> </w:t>
    </w:r>
    <w:proofErr w:type="spellStart"/>
    <w:r w:rsidR="008B200D">
      <w:rPr>
        <w:rFonts w:ascii="Helvetica" w:hAnsi="Helvetica"/>
        <w:color w:val="000000"/>
        <w:sz w:val="14"/>
        <w:szCs w:val="14"/>
      </w:rPr>
      <w:t>Kalkglaette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11B56" w14:textId="77777777" w:rsidR="00B32838" w:rsidRDefault="00B32838">
      <w:r>
        <w:separator/>
      </w:r>
    </w:p>
  </w:footnote>
  <w:footnote w:type="continuationSeparator" w:id="0">
    <w:p w14:paraId="430E9D55" w14:textId="77777777" w:rsidR="00B32838" w:rsidRDefault="00B32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2644" w14:textId="77777777" w:rsidR="004964EB" w:rsidRDefault="00B84DD0" w:rsidP="00F2014E">
    <w:pPr>
      <w:pStyle w:val="Kopfzeile"/>
      <w:ind w:left="-709"/>
      <w:jc w:val="right"/>
      <w:rPr>
        <w:rFonts w:ascii="Futura Md BT" w:hAnsi="Futura Md BT"/>
        <w:b/>
        <w:color w:val="000000"/>
        <w:spacing w:val="-4"/>
        <w:sz w:val="44"/>
        <w:szCs w:val="44"/>
      </w:rPr>
    </w:pPr>
    <w:r w:rsidRPr="00492C46">
      <w:rPr>
        <w:rFonts w:ascii="Futura Md BT" w:hAnsi="Futura Md BT"/>
        <w:b/>
        <w:color w:val="000000"/>
        <w:spacing w:val="-4"/>
        <w:sz w:val="44"/>
        <w:szCs w:val="44"/>
      </w:rPr>
      <w:t>L</w:t>
    </w:r>
    <w:r w:rsidR="004964EB">
      <w:rPr>
        <w:rFonts w:ascii="Futura Md BT" w:hAnsi="Futura Md BT"/>
        <w:b/>
        <w:color w:val="000000"/>
        <w:spacing w:val="-4"/>
        <w:sz w:val="44"/>
        <w:szCs w:val="44"/>
      </w:rPr>
      <w:t>eistungsverzeichnis</w:t>
    </w:r>
  </w:p>
  <w:p w14:paraId="47B2E4C1" w14:textId="77777777" w:rsidR="00B84DD0" w:rsidRPr="00492C46" w:rsidRDefault="00B84DD0" w:rsidP="00F2014E">
    <w:pPr>
      <w:pStyle w:val="Kopfzeile"/>
      <w:ind w:left="-709"/>
      <w:jc w:val="right"/>
      <w:rPr>
        <w:color w:val="000000"/>
        <w:sz w:val="44"/>
        <w:szCs w:val="44"/>
      </w:rPr>
    </w:pPr>
    <w:r w:rsidRPr="00492C46">
      <w:rPr>
        <w:rFonts w:ascii="Futura Md BT" w:hAnsi="Futura Md BT"/>
        <w:b/>
        <w:color w:val="000000"/>
        <w:spacing w:val="-4"/>
        <w:sz w:val="44"/>
        <w:szCs w:val="44"/>
      </w:rPr>
      <w:t xml:space="preserve"> Biso</w:t>
    </w:r>
    <w:r w:rsidR="009D7CAF">
      <w:rPr>
        <w:rFonts w:ascii="Futura Md BT" w:hAnsi="Futura Md BT"/>
        <w:b/>
        <w:color w:val="000000"/>
        <w:spacing w:val="-4"/>
        <w:sz w:val="44"/>
        <w:szCs w:val="44"/>
      </w:rPr>
      <w:t xml:space="preserve">green </w:t>
    </w:r>
    <w:r w:rsidR="008B200D">
      <w:rPr>
        <w:rFonts w:ascii="Futura Md BT" w:hAnsi="Futura Md BT"/>
        <w:b/>
        <w:color w:val="000000"/>
        <w:spacing w:val="-4"/>
        <w:sz w:val="44"/>
        <w:szCs w:val="44"/>
      </w:rPr>
      <w:t>Kalkglätte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D21BE"/>
    <w:multiLevelType w:val="hybridMultilevel"/>
    <w:tmpl w:val="99A245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241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A2"/>
    <w:rsid w:val="00003862"/>
    <w:rsid w:val="00090701"/>
    <w:rsid w:val="000B43C0"/>
    <w:rsid w:val="000E15C9"/>
    <w:rsid w:val="00104D5A"/>
    <w:rsid w:val="001061F2"/>
    <w:rsid w:val="00141ABE"/>
    <w:rsid w:val="001861A2"/>
    <w:rsid w:val="001C1A8C"/>
    <w:rsid w:val="001D2F1B"/>
    <w:rsid w:val="001F7991"/>
    <w:rsid w:val="00240C13"/>
    <w:rsid w:val="00291E57"/>
    <w:rsid w:val="00292DE7"/>
    <w:rsid w:val="002965F0"/>
    <w:rsid w:val="002A7811"/>
    <w:rsid w:val="002E66DD"/>
    <w:rsid w:val="002F72AD"/>
    <w:rsid w:val="00301938"/>
    <w:rsid w:val="00334C8A"/>
    <w:rsid w:val="00352AD4"/>
    <w:rsid w:val="00361727"/>
    <w:rsid w:val="0037062E"/>
    <w:rsid w:val="00380599"/>
    <w:rsid w:val="003C391E"/>
    <w:rsid w:val="003D3636"/>
    <w:rsid w:val="004004B8"/>
    <w:rsid w:val="00405385"/>
    <w:rsid w:val="00412DA3"/>
    <w:rsid w:val="00422717"/>
    <w:rsid w:val="00431EE2"/>
    <w:rsid w:val="00432A6F"/>
    <w:rsid w:val="00434691"/>
    <w:rsid w:val="00434F13"/>
    <w:rsid w:val="004613B6"/>
    <w:rsid w:val="00467E6B"/>
    <w:rsid w:val="0047360E"/>
    <w:rsid w:val="004750EF"/>
    <w:rsid w:val="00483ACB"/>
    <w:rsid w:val="00492C46"/>
    <w:rsid w:val="004964EB"/>
    <w:rsid w:val="004A1892"/>
    <w:rsid w:val="004D0D4D"/>
    <w:rsid w:val="004D2248"/>
    <w:rsid w:val="004E2B67"/>
    <w:rsid w:val="005079CE"/>
    <w:rsid w:val="0051558F"/>
    <w:rsid w:val="00521124"/>
    <w:rsid w:val="00551BB2"/>
    <w:rsid w:val="00575E10"/>
    <w:rsid w:val="00590C4A"/>
    <w:rsid w:val="005A09B3"/>
    <w:rsid w:val="005A0F0D"/>
    <w:rsid w:val="005A2E4C"/>
    <w:rsid w:val="005B6048"/>
    <w:rsid w:val="005F05E9"/>
    <w:rsid w:val="00620D37"/>
    <w:rsid w:val="00627A3E"/>
    <w:rsid w:val="0063229C"/>
    <w:rsid w:val="006502F1"/>
    <w:rsid w:val="00657DFE"/>
    <w:rsid w:val="00670B2F"/>
    <w:rsid w:val="00671F75"/>
    <w:rsid w:val="00673CC7"/>
    <w:rsid w:val="00680E63"/>
    <w:rsid w:val="006875DC"/>
    <w:rsid w:val="00691D13"/>
    <w:rsid w:val="00697311"/>
    <w:rsid w:val="006C29DC"/>
    <w:rsid w:val="006E3013"/>
    <w:rsid w:val="007136CE"/>
    <w:rsid w:val="0071613F"/>
    <w:rsid w:val="00717FAB"/>
    <w:rsid w:val="007370D6"/>
    <w:rsid w:val="007541C9"/>
    <w:rsid w:val="0076518E"/>
    <w:rsid w:val="007736A6"/>
    <w:rsid w:val="00776EA7"/>
    <w:rsid w:val="007959BC"/>
    <w:rsid w:val="007A49EB"/>
    <w:rsid w:val="007B72CE"/>
    <w:rsid w:val="007D0DD6"/>
    <w:rsid w:val="007F7EB7"/>
    <w:rsid w:val="00860E69"/>
    <w:rsid w:val="008B200D"/>
    <w:rsid w:val="008C4A78"/>
    <w:rsid w:val="00940567"/>
    <w:rsid w:val="00972DF6"/>
    <w:rsid w:val="009A75AA"/>
    <w:rsid w:val="009A7E36"/>
    <w:rsid w:val="009D1629"/>
    <w:rsid w:val="009D7CAF"/>
    <w:rsid w:val="00A15A72"/>
    <w:rsid w:val="00A1752A"/>
    <w:rsid w:val="00A20CA1"/>
    <w:rsid w:val="00A66F6D"/>
    <w:rsid w:val="00A7458B"/>
    <w:rsid w:val="00A96F5B"/>
    <w:rsid w:val="00AD618C"/>
    <w:rsid w:val="00AF2626"/>
    <w:rsid w:val="00B32838"/>
    <w:rsid w:val="00B47C33"/>
    <w:rsid w:val="00B75441"/>
    <w:rsid w:val="00B84DD0"/>
    <w:rsid w:val="00BA6E05"/>
    <w:rsid w:val="00BE6FE0"/>
    <w:rsid w:val="00BF6186"/>
    <w:rsid w:val="00C03DB2"/>
    <w:rsid w:val="00C165D1"/>
    <w:rsid w:val="00C3748E"/>
    <w:rsid w:val="00C625B4"/>
    <w:rsid w:val="00C857E7"/>
    <w:rsid w:val="00C950E2"/>
    <w:rsid w:val="00CA0F78"/>
    <w:rsid w:val="00CB1D07"/>
    <w:rsid w:val="00DB6689"/>
    <w:rsid w:val="00DD09F5"/>
    <w:rsid w:val="00DE6874"/>
    <w:rsid w:val="00E0784B"/>
    <w:rsid w:val="00E1264C"/>
    <w:rsid w:val="00E154BE"/>
    <w:rsid w:val="00EC67FF"/>
    <w:rsid w:val="00ED2213"/>
    <w:rsid w:val="00EE7BE1"/>
    <w:rsid w:val="00EF2743"/>
    <w:rsid w:val="00F0562D"/>
    <w:rsid w:val="00F2014E"/>
    <w:rsid w:val="00F57159"/>
    <w:rsid w:val="00F664B0"/>
    <w:rsid w:val="00FB09CC"/>
    <w:rsid w:val="00FB4C4A"/>
    <w:rsid w:val="00FC43E4"/>
    <w:rsid w:val="00FE4CEA"/>
    <w:rsid w:val="00FF48CD"/>
    <w:rsid w:val="00FF4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A87700"/>
  <w15:docId w15:val="{70475F2B-4198-9942-B8CE-2DECA615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20CA1"/>
    <w:rPr>
      <w:rFonts w:ascii="Arial" w:hAnsi="Arial"/>
      <w:sz w:val="24"/>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819"/>
        <w:tab w:val="right" w:pos="9071"/>
      </w:tabs>
    </w:pPr>
  </w:style>
  <w:style w:type="paragraph" w:styleId="Fuzeile">
    <w:name w:val="footer"/>
    <w:basedOn w:val="Standard"/>
    <w:pPr>
      <w:tabs>
        <w:tab w:val="center" w:pos="4536"/>
        <w:tab w:val="right" w:pos="9072"/>
      </w:tabs>
    </w:pPr>
  </w:style>
  <w:style w:type="paragraph" w:styleId="Textkrper">
    <w:name w:val="Body Text"/>
    <w:basedOn w:val="Standard"/>
    <w:rPr>
      <w:sz w:val="20"/>
    </w:rPr>
  </w:style>
  <w:style w:type="character" w:styleId="Seitenzahl">
    <w:name w:val="page number"/>
    <w:basedOn w:val="Absatz-Standardschriftart"/>
  </w:style>
  <w:style w:type="paragraph" w:styleId="Textkrper2">
    <w:name w:val="Body Text 2"/>
    <w:basedOn w:val="Standar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Ausschreibungstexte Bisoplan</vt:lpstr>
    </vt:vector>
  </TitlesOfParts>
  <Company>Bisotherm GmbH</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Ausschreibungstexte Bisoplan</dc:title>
  <dc:creator>Bisotherm</dc:creator>
  <cp:lastModifiedBy>Peter Biermann</cp:lastModifiedBy>
  <cp:revision>5</cp:revision>
  <cp:lastPrinted>2011-06-30T12:50:00Z</cp:lastPrinted>
  <dcterms:created xsi:type="dcterms:W3CDTF">2016-02-16T10:47:00Z</dcterms:created>
  <dcterms:modified xsi:type="dcterms:W3CDTF">2023-04-20T15:56:00Z</dcterms:modified>
</cp:coreProperties>
</file>